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C5" w:rsidRDefault="009F4D87">
      <w:pPr>
        <w:tabs>
          <w:tab w:val="center" w:pos="1237"/>
          <w:tab w:val="center" w:pos="4538"/>
          <w:tab w:val="right" w:pos="8829"/>
        </w:tabs>
        <w:spacing w:after="0" w:line="259" w:lineRule="auto"/>
        <w:ind w:left="0" w:firstLine="0"/>
        <w:jc w:val="left"/>
      </w:pPr>
      <w:bookmarkStart w:id="0" w:name="_GoBack"/>
      <w:bookmarkEnd w:id="0"/>
      <w:r>
        <w:rPr>
          <w:rFonts w:ascii="Calibri" w:eastAsia="Calibri" w:hAnsi="Calibri" w:cs="Calibri"/>
          <w:sz w:val="22"/>
        </w:rPr>
        <w:tab/>
      </w:r>
      <w:r>
        <w:rPr>
          <w:rFonts w:ascii="Arial" w:eastAsia="Arial" w:hAnsi="Arial" w:cs="Arial"/>
          <w:sz w:val="16"/>
        </w:rPr>
        <w:t>20 Aralık 2017 ÇARŞAMBA</w:t>
      </w:r>
      <w:r>
        <w:rPr>
          <w:sz w:val="24"/>
        </w:rPr>
        <w:t xml:space="preserve"> </w:t>
      </w:r>
      <w:r>
        <w:rPr>
          <w:sz w:val="24"/>
        </w:rPr>
        <w:tab/>
      </w:r>
      <w:r>
        <w:rPr>
          <w:rFonts w:ascii="Palatino Linotype" w:eastAsia="Palatino Linotype" w:hAnsi="Palatino Linotype" w:cs="Palatino Linotype"/>
          <w:b/>
          <w:color w:val="800080"/>
          <w:sz w:val="24"/>
        </w:rPr>
        <w:t>Resmî Gazete</w:t>
      </w:r>
      <w:r>
        <w:rPr>
          <w:sz w:val="24"/>
        </w:rPr>
        <w:t xml:space="preserve"> </w:t>
      </w:r>
      <w:r>
        <w:rPr>
          <w:sz w:val="24"/>
        </w:rPr>
        <w:tab/>
      </w:r>
      <w:r>
        <w:rPr>
          <w:rFonts w:ascii="Arial" w:eastAsia="Arial" w:hAnsi="Arial" w:cs="Arial"/>
          <w:sz w:val="24"/>
          <w:vertAlign w:val="superscript"/>
        </w:rPr>
        <w:t>Sayı : 30276</w:t>
      </w:r>
      <w:r>
        <w:rPr>
          <w:sz w:val="24"/>
        </w:rPr>
        <w:t xml:space="preserve"> </w:t>
      </w:r>
    </w:p>
    <w:p w:rsidR="003567C5" w:rsidRDefault="009F4D87">
      <w:pPr>
        <w:spacing w:after="140" w:line="259" w:lineRule="auto"/>
        <w:ind w:left="142" w:right="-103" w:firstLine="0"/>
        <w:jc w:val="left"/>
      </w:pPr>
      <w:r>
        <w:rPr>
          <w:rFonts w:ascii="Calibri" w:eastAsia="Calibri" w:hAnsi="Calibri" w:cs="Calibri"/>
          <w:noProof/>
          <w:sz w:val="22"/>
        </w:rPr>
        <mc:AlternateContent>
          <mc:Choice Requires="wpg">
            <w:drawing>
              <wp:inline distT="0" distB="0" distL="0" distR="0">
                <wp:extent cx="5581727" cy="12192"/>
                <wp:effectExtent l="0" t="0" r="0" b="0"/>
                <wp:docPr id="3212" name="Group 3212"/>
                <wp:cNvGraphicFramePr/>
                <a:graphic xmlns:a="http://schemas.openxmlformats.org/drawingml/2006/main">
                  <a:graphicData uri="http://schemas.microsoft.com/office/word/2010/wordprocessingGroup">
                    <wpg:wgp>
                      <wpg:cNvGrpSpPr/>
                      <wpg:grpSpPr>
                        <a:xfrm>
                          <a:off x="0" y="0"/>
                          <a:ext cx="5581727" cy="12192"/>
                          <a:chOff x="0" y="0"/>
                          <a:chExt cx="5581727" cy="12192"/>
                        </a:xfrm>
                      </wpg:grpSpPr>
                      <wps:wsp>
                        <wps:cNvPr id="3626" name="Shape 3626"/>
                        <wps:cNvSpPr/>
                        <wps:spPr>
                          <a:xfrm>
                            <a:off x="0" y="0"/>
                            <a:ext cx="1861058" cy="12192"/>
                          </a:xfrm>
                          <a:custGeom>
                            <a:avLst/>
                            <a:gdLst/>
                            <a:ahLst/>
                            <a:cxnLst/>
                            <a:rect l="0" t="0" r="0" b="0"/>
                            <a:pathLst>
                              <a:path w="1861058" h="12192">
                                <a:moveTo>
                                  <a:pt x="0" y="0"/>
                                </a:moveTo>
                                <a:lnTo>
                                  <a:pt x="1861058" y="0"/>
                                </a:lnTo>
                                <a:lnTo>
                                  <a:pt x="1861058"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627" name="Shape 3627"/>
                        <wps:cNvSpPr/>
                        <wps:spPr>
                          <a:xfrm>
                            <a:off x="18611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628" name="Shape 3628"/>
                        <wps:cNvSpPr/>
                        <wps:spPr>
                          <a:xfrm>
                            <a:off x="1873326" y="0"/>
                            <a:ext cx="1850390" cy="12192"/>
                          </a:xfrm>
                          <a:custGeom>
                            <a:avLst/>
                            <a:gdLst/>
                            <a:ahLst/>
                            <a:cxnLst/>
                            <a:rect l="0" t="0" r="0" b="0"/>
                            <a:pathLst>
                              <a:path w="1850390" h="12192">
                                <a:moveTo>
                                  <a:pt x="0" y="0"/>
                                </a:moveTo>
                                <a:lnTo>
                                  <a:pt x="1850390" y="0"/>
                                </a:lnTo>
                                <a:lnTo>
                                  <a:pt x="1850390"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629" name="Shape 3629"/>
                        <wps:cNvSpPr/>
                        <wps:spPr>
                          <a:xfrm>
                            <a:off x="37237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630" name="Shape 3630"/>
                        <wps:cNvSpPr/>
                        <wps:spPr>
                          <a:xfrm>
                            <a:off x="3735909" y="0"/>
                            <a:ext cx="1845818" cy="12192"/>
                          </a:xfrm>
                          <a:custGeom>
                            <a:avLst/>
                            <a:gdLst/>
                            <a:ahLst/>
                            <a:cxnLst/>
                            <a:rect l="0" t="0" r="0" b="0"/>
                            <a:pathLst>
                              <a:path w="1845818" h="12192">
                                <a:moveTo>
                                  <a:pt x="0" y="0"/>
                                </a:moveTo>
                                <a:lnTo>
                                  <a:pt x="1845818" y="0"/>
                                </a:lnTo>
                                <a:lnTo>
                                  <a:pt x="1845818" y="12192"/>
                                </a:lnTo>
                                <a:lnTo>
                                  <a:pt x="0" y="12192"/>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g:wgp>
                  </a:graphicData>
                </a:graphic>
              </wp:inline>
            </w:drawing>
          </mc:Choice>
          <mc:Fallback xmlns:a="http://schemas.openxmlformats.org/drawingml/2006/main">
            <w:pict>
              <v:group id="Group 3212" style="width:439.506pt;height:0.960022pt;mso-position-horizontal-relative:char;mso-position-vertical-relative:line" coordsize="55817,121">
                <v:shape id="Shape 3631" style="position:absolute;width:18610;height:121;left:0;top:0;" coordsize="1861058,12192" path="m0,0l1861058,0l1861058,12192l0,12192l0,0">
                  <v:stroke weight="0pt" endcap="flat" joinstyle="miter" miterlimit="10" on="false" color="#000000" opacity="0"/>
                  <v:fill on="true" color="#660066"/>
                </v:shape>
                <v:shape id="Shape 3632" style="position:absolute;width:121;height:121;left:18611;top:0;" coordsize="12192,12192" path="m0,0l12192,0l12192,12192l0,12192l0,0">
                  <v:stroke weight="0pt" endcap="flat" joinstyle="miter" miterlimit="10" on="false" color="#000000" opacity="0"/>
                  <v:fill on="true" color="#660066"/>
                </v:shape>
                <v:shape id="Shape 3633" style="position:absolute;width:18503;height:121;left:18733;top:0;" coordsize="1850390,12192" path="m0,0l1850390,0l1850390,12192l0,12192l0,0">
                  <v:stroke weight="0pt" endcap="flat" joinstyle="miter" miterlimit="10" on="false" color="#000000" opacity="0"/>
                  <v:fill on="true" color="#660066"/>
                </v:shape>
                <v:shape id="Shape 3634" style="position:absolute;width:121;height:121;left:37237;top:0;" coordsize="12192,12192" path="m0,0l12192,0l12192,12192l0,12192l0,0">
                  <v:stroke weight="0pt" endcap="flat" joinstyle="miter" miterlimit="10" on="false" color="#000000" opacity="0"/>
                  <v:fill on="true" color="#660066"/>
                </v:shape>
                <v:shape id="Shape 3635" style="position:absolute;width:18458;height:121;left:37359;top:0;" coordsize="1845818,12192" path="m0,0l1845818,0l1845818,12192l0,12192l0,0">
                  <v:stroke weight="0pt" endcap="flat" joinstyle="miter" miterlimit="10" on="false" color="#000000" opacity="0"/>
                  <v:fill on="true" color="#660066"/>
                </v:shape>
              </v:group>
            </w:pict>
          </mc:Fallback>
        </mc:AlternateContent>
      </w:r>
    </w:p>
    <w:p w:rsidR="003567C5" w:rsidRDefault="009F4D87">
      <w:pPr>
        <w:spacing w:after="0" w:line="415" w:lineRule="auto"/>
        <w:ind w:left="1798" w:right="1556" w:firstLine="0"/>
        <w:jc w:val="center"/>
      </w:pPr>
      <w:r>
        <w:rPr>
          <w:rFonts w:ascii="Arial" w:eastAsia="Arial" w:hAnsi="Arial" w:cs="Arial"/>
          <w:b/>
          <w:color w:val="000080"/>
        </w:rPr>
        <w:t>KANUN</w:t>
      </w:r>
      <w:r>
        <w:rPr>
          <w:sz w:val="24"/>
        </w:rPr>
        <w:t xml:space="preserve"> </w:t>
      </w:r>
      <w:r>
        <w:rPr>
          <w:b/>
        </w:rPr>
        <w:t>BAZI KANUNLARDA DEĞİŞİKLİK YAPILMASINA DAİR KANUN</w:t>
      </w:r>
      <w:r>
        <w:rPr>
          <w:sz w:val="24"/>
        </w:rPr>
        <w:t xml:space="preserve"> </w:t>
      </w:r>
    </w:p>
    <w:p w:rsidR="003567C5" w:rsidRDefault="009F4D87">
      <w:pPr>
        <w:spacing w:after="73" w:line="259" w:lineRule="auto"/>
        <w:ind w:left="816" w:firstLine="0"/>
        <w:jc w:val="left"/>
      </w:pPr>
      <w:r>
        <w:rPr>
          <w:b/>
          <w:u w:val="single" w:color="000000"/>
        </w:rPr>
        <w:t>Kanun No. 7063</w:t>
      </w:r>
      <w:r>
        <w:rPr>
          <w:b/>
        </w:rPr>
        <w:t xml:space="preserve">                                                                                             </w:t>
      </w:r>
      <w:r>
        <w:rPr>
          <w:b/>
          <w:u w:val="single" w:color="000000"/>
        </w:rPr>
        <w:t>Kabul Tarihi: 6/12/2017</w:t>
      </w:r>
      <w:r>
        <w:rPr>
          <w:sz w:val="24"/>
        </w:rPr>
        <w:t xml:space="preserve"> </w:t>
      </w:r>
    </w:p>
    <w:p w:rsidR="003567C5" w:rsidRDefault="009F4D87">
      <w:pPr>
        <w:ind w:left="235"/>
      </w:pPr>
      <w:r>
        <w:rPr>
          <w:b/>
        </w:rPr>
        <w:t>MADDE 1-</w:t>
      </w:r>
      <w:r>
        <w:t xml:space="preserve"> </w:t>
      </w:r>
      <w:r>
        <w:t>31/12/1960 tarihli ve 193 sayılı Gelir Vergisi Kanununun geçici 72 nci maddesinin birinci fıkrasında yer alan “31/12/2017” ibaresi “31/12/2019” şeklinde değiştirilmiştir.</w:t>
      </w:r>
      <w:r>
        <w:rPr>
          <w:sz w:val="24"/>
        </w:rPr>
        <w:t xml:space="preserve"> </w:t>
      </w:r>
    </w:p>
    <w:p w:rsidR="003567C5" w:rsidRDefault="009F4D87">
      <w:pPr>
        <w:ind w:left="235"/>
      </w:pPr>
      <w:r>
        <w:rPr>
          <w:b/>
        </w:rPr>
        <w:t>MADDE 2-</w:t>
      </w:r>
      <w:r>
        <w:t xml:space="preserve"> 28/3/1983 tarihli ve 2809 sayılı Yükseköğretim Kurumları Teşkilatı Kanununu</w:t>
      </w:r>
      <w:r>
        <w:t xml:space="preserve">n ek 175 inci maddesinin başlığında ve birinci fıkrasında yer alan “Ankara Güzel Sanatlar Üniversitesi” ibareleri “Ankara Müzik ve Güzel Sanatlar Üniversitesi” şeklinde; ikinci fıkrasının (a) bendinde yer alan “Müzik ve Sanat Eğitimi Fakültesi” ile “Güzel </w:t>
      </w:r>
      <w:r>
        <w:t>Sanatlar Meslek Yüksekokulundan” ibareleri sırasıyla “Müzik ve Güzel Sanatlar Eğitim Fakültesi” ve “Müzik ve Güzel Sanatlar Meslek Yüksekokulundan” şeklinde ve (b) bendinde yer alan “Güzel Sanatlar Enstitüsünden” ibaresi “Müzik ve Güzel Sanatlar Enstitüsün</w:t>
      </w:r>
      <w:r>
        <w:t>den” şeklinde değiştirilmiştir.</w:t>
      </w:r>
      <w:r>
        <w:rPr>
          <w:sz w:val="24"/>
        </w:rPr>
        <w:t xml:space="preserve"> </w:t>
      </w:r>
    </w:p>
    <w:p w:rsidR="003567C5" w:rsidRDefault="009F4D87">
      <w:pPr>
        <w:spacing w:after="29"/>
        <w:ind w:left="816" w:firstLine="0"/>
      </w:pPr>
      <w:r>
        <w:rPr>
          <w:b/>
        </w:rPr>
        <w:t>MADDE 3-</w:t>
      </w:r>
      <w:r>
        <w:t xml:space="preserve"> 2809 sayılı Kanuna aşağıdaki ek madde eklenmiştir.</w:t>
      </w:r>
      <w:r>
        <w:rPr>
          <w:sz w:val="24"/>
        </w:rPr>
        <w:t xml:space="preserve"> </w:t>
      </w:r>
    </w:p>
    <w:p w:rsidR="003567C5" w:rsidRDefault="009F4D87">
      <w:pPr>
        <w:ind w:left="816" w:firstLine="0"/>
      </w:pPr>
      <w:r>
        <w:t>“Lokman Hekim Üniversitesi</w:t>
      </w:r>
      <w:r>
        <w:rPr>
          <w:sz w:val="24"/>
        </w:rPr>
        <w:t xml:space="preserve"> </w:t>
      </w:r>
    </w:p>
    <w:p w:rsidR="003567C5" w:rsidRDefault="009F4D87">
      <w:pPr>
        <w:ind w:left="235"/>
      </w:pPr>
      <w:r>
        <w:t>EK MADDE 176- Ankara’da Sevgi Vakfı tarafından 2547 sayılı Yükseköğretim Kanununun vakıf yükseköğretim kurumlarına ilişkin hükümlerine</w:t>
      </w:r>
      <w:r>
        <w:t xml:space="preserve"> tabi olmak üzere, kamu tüzel kişiliğine sahip Lokman Hekim Üniversitesi adıyla bir vakıf üniversitesi kurulmuştur.</w:t>
      </w:r>
      <w:r>
        <w:rPr>
          <w:sz w:val="24"/>
        </w:rPr>
        <w:t xml:space="preserve"> </w:t>
      </w:r>
      <w:r>
        <w:t>Bu Üniversite, Rektörlüğe bağlı olarak;</w:t>
      </w:r>
      <w:r>
        <w:rPr>
          <w:sz w:val="24"/>
        </w:rPr>
        <w:t xml:space="preserve"> </w:t>
      </w:r>
      <w:r>
        <w:t>a) Tıp Fakültesinden,</w:t>
      </w:r>
      <w:r>
        <w:rPr>
          <w:sz w:val="24"/>
        </w:rPr>
        <w:t xml:space="preserve"> </w:t>
      </w:r>
    </w:p>
    <w:p w:rsidR="003567C5" w:rsidRDefault="009F4D87">
      <w:pPr>
        <w:numPr>
          <w:ilvl w:val="0"/>
          <w:numId w:val="1"/>
        </w:numPr>
        <w:spacing w:after="30"/>
        <w:ind w:firstLine="0"/>
      </w:pPr>
      <w:r>
        <w:t>Sağlık Bilimleri Fakültesinden,</w:t>
      </w:r>
      <w:r>
        <w:rPr>
          <w:sz w:val="24"/>
        </w:rPr>
        <w:t xml:space="preserve"> </w:t>
      </w:r>
    </w:p>
    <w:p w:rsidR="003567C5" w:rsidRDefault="009F4D87">
      <w:pPr>
        <w:numPr>
          <w:ilvl w:val="0"/>
          <w:numId w:val="1"/>
        </w:numPr>
        <w:spacing w:after="30"/>
        <w:ind w:firstLine="0"/>
      </w:pPr>
      <w:r>
        <w:t>Diş Hekimliği Fakültesinden,</w:t>
      </w:r>
      <w:r>
        <w:rPr>
          <w:sz w:val="24"/>
        </w:rPr>
        <w:t xml:space="preserve"> </w:t>
      </w:r>
    </w:p>
    <w:p w:rsidR="003567C5" w:rsidRDefault="009F4D87">
      <w:pPr>
        <w:spacing w:after="30"/>
        <w:ind w:left="816" w:firstLine="0"/>
      </w:pPr>
      <w:r>
        <w:t>ç) Eczacılık F</w:t>
      </w:r>
      <w:r>
        <w:t>akültesinden,</w:t>
      </w:r>
      <w:r>
        <w:rPr>
          <w:sz w:val="24"/>
        </w:rPr>
        <w:t xml:space="preserve"> </w:t>
      </w:r>
    </w:p>
    <w:p w:rsidR="003567C5" w:rsidRDefault="009F4D87">
      <w:pPr>
        <w:numPr>
          <w:ilvl w:val="0"/>
          <w:numId w:val="1"/>
        </w:numPr>
        <w:spacing w:after="30"/>
        <w:ind w:firstLine="0"/>
      </w:pPr>
      <w:r>
        <w:t>Spor Bilimleri Fakültesinden,</w:t>
      </w:r>
      <w:r>
        <w:rPr>
          <w:sz w:val="24"/>
        </w:rPr>
        <w:t xml:space="preserve"> </w:t>
      </w:r>
    </w:p>
    <w:p w:rsidR="003567C5" w:rsidRDefault="009F4D87">
      <w:pPr>
        <w:numPr>
          <w:ilvl w:val="0"/>
          <w:numId w:val="1"/>
        </w:numPr>
        <w:spacing w:after="31"/>
        <w:ind w:firstLine="0"/>
      </w:pPr>
      <w:r>
        <w:t>Mühendislik Fakültesinden,</w:t>
      </w:r>
      <w:r>
        <w:rPr>
          <w:sz w:val="24"/>
        </w:rPr>
        <w:t xml:space="preserve"> </w:t>
      </w:r>
    </w:p>
    <w:p w:rsidR="003567C5" w:rsidRDefault="009F4D87">
      <w:pPr>
        <w:numPr>
          <w:ilvl w:val="0"/>
          <w:numId w:val="1"/>
        </w:numPr>
        <w:spacing w:after="30"/>
        <w:ind w:firstLine="0"/>
      </w:pPr>
      <w:r>
        <w:t>Sağlık Meslek Yüksekokulundan,</w:t>
      </w:r>
      <w:r>
        <w:rPr>
          <w:sz w:val="24"/>
        </w:rPr>
        <w:t xml:space="preserve"> </w:t>
      </w:r>
    </w:p>
    <w:p w:rsidR="003567C5" w:rsidRDefault="009F4D87">
      <w:pPr>
        <w:numPr>
          <w:ilvl w:val="0"/>
          <w:numId w:val="1"/>
        </w:numPr>
        <w:ind w:firstLine="0"/>
      </w:pPr>
      <w:r>
        <w:t>Sağlık Bilimleri Enstitüsünden,</w:t>
      </w:r>
      <w:r>
        <w:rPr>
          <w:sz w:val="24"/>
        </w:rPr>
        <w:t xml:space="preserve"> </w:t>
      </w:r>
      <w:r>
        <w:t>oluşur.”</w:t>
      </w:r>
      <w:r>
        <w:rPr>
          <w:sz w:val="24"/>
        </w:rPr>
        <w:t xml:space="preserve"> </w:t>
      </w:r>
    </w:p>
    <w:p w:rsidR="003567C5" w:rsidRDefault="009F4D87">
      <w:pPr>
        <w:ind w:left="816" w:firstLine="0"/>
      </w:pPr>
      <w:r>
        <w:rPr>
          <w:b/>
        </w:rPr>
        <w:t>MADDE 4-</w:t>
      </w:r>
      <w:r>
        <w:t xml:space="preserve"> 2809 sayılı Kanuna aşağıdaki geçici madde eklenmiştir.</w:t>
      </w:r>
      <w:r>
        <w:rPr>
          <w:sz w:val="24"/>
        </w:rPr>
        <w:t xml:space="preserve"> </w:t>
      </w:r>
    </w:p>
    <w:p w:rsidR="003567C5" w:rsidRDefault="009F4D87">
      <w:pPr>
        <w:ind w:left="235"/>
      </w:pPr>
      <w:r>
        <w:t xml:space="preserve">“GEÇİCİ MADDE 50- </w:t>
      </w:r>
      <w:r>
        <w:t>Mevzuatta Ankara Güzel Sanatlar Üniversitesine yapılan atıflar Ankara Müzik ve Güzel Sanatlar Üniversitesine yapılmış sayılır.”</w:t>
      </w:r>
      <w:r>
        <w:rPr>
          <w:sz w:val="24"/>
        </w:rPr>
        <w:t xml:space="preserve"> </w:t>
      </w:r>
    </w:p>
    <w:p w:rsidR="003567C5" w:rsidRDefault="009F4D87">
      <w:pPr>
        <w:ind w:left="235"/>
      </w:pPr>
      <w:r>
        <w:rPr>
          <w:b/>
        </w:rPr>
        <w:t>MADDE 5-</w:t>
      </w:r>
      <w:r>
        <w:t xml:space="preserve"> 24/5/1983 tarihli ve 2828 sayılı Sosyal Hizmetler Kanununun 3 üncü maddesinin birinci fıkrasının (f) bendinin (9) numa</w:t>
      </w:r>
      <w:r>
        <w:t>ralı alt bendi aşağıdaki şekilde değiştirilmiştir.</w:t>
      </w:r>
      <w:r>
        <w:rPr>
          <w:sz w:val="24"/>
        </w:rPr>
        <w:t xml:space="preserve"> </w:t>
      </w:r>
    </w:p>
    <w:p w:rsidR="003567C5" w:rsidRDefault="009F4D87">
      <w:pPr>
        <w:ind w:left="235"/>
      </w:pPr>
      <w:r>
        <w:t>“9. “Aktif Yaşam Merkezi”; Yaşlı bireyler ile engelli bireylerin yaşam kalitesinin artırılması ve sosyal hayata aktif katılımlarına katkı sağlanması amacıyla, engelli ve yaşlı bireyler ile ailelerine rehb</w:t>
      </w:r>
      <w:r>
        <w:t>erlik ve destek hizmeti ile evde gündüz bakım hizmeti sunan gündüzlü sosyal hizmet kuruluşlarını,”</w:t>
      </w:r>
      <w:r>
        <w:rPr>
          <w:sz w:val="24"/>
        </w:rPr>
        <w:t xml:space="preserve"> </w:t>
      </w:r>
    </w:p>
    <w:p w:rsidR="003567C5" w:rsidRDefault="009F4D87">
      <w:pPr>
        <w:ind w:left="235"/>
      </w:pPr>
      <w:r>
        <w:rPr>
          <w:b/>
        </w:rPr>
        <w:t>MADDE 6-</w:t>
      </w:r>
      <w:r>
        <w:t xml:space="preserve"> 10/12/2003 tarihli ve 5018 sayılı Kamu Malî Yönetimi ve Kontrol Kanununun eki (II) sayılı cetvelin “A) Yükseköğretim Kurulu, Üniversiteler ve Yükse</w:t>
      </w:r>
      <w:r>
        <w:t>k Teknoloji Enstitüleri” bölümünün 115 inci sırası aşağıdaki şekilde değiştirilmiştir.</w:t>
      </w:r>
      <w:r>
        <w:rPr>
          <w:sz w:val="24"/>
        </w:rPr>
        <w:t xml:space="preserve"> </w:t>
      </w:r>
    </w:p>
    <w:p w:rsidR="003567C5" w:rsidRDefault="009F4D87">
      <w:pPr>
        <w:ind w:left="816" w:firstLine="0"/>
      </w:pPr>
      <w:r>
        <w:t>“115) Ankara Müzik ve Güzel Sanatlar Üniversitesi”</w:t>
      </w:r>
      <w:r>
        <w:rPr>
          <w:sz w:val="24"/>
        </w:rPr>
        <w:t xml:space="preserve"> </w:t>
      </w:r>
    </w:p>
    <w:p w:rsidR="003567C5" w:rsidRDefault="009F4D87">
      <w:pPr>
        <w:ind w:left="816" w:firstLine="0"/>
      </w:pPr>
      <w:r>
        <w:rPr>
          <w:b/>
        </w:rPr>
        <w:t xml:space="preserve">MADDE 7- </w:t>
      </w:r>
      <w:r>
        <w:t>22/6/2004 tarihli ve 5193 sayılı Optisyenlik Hakkında Kanuna aşağıdaki geçici madde eklenmiştir.</w:t>
      </w:r>
      <w:r>
        <w:rPr>
          <w:sz w:val="24"/>
        </w:rPr>
        <w:t xml:space="preserve"> </w:t>
      </w:r>
    </w:p>
    <w:p w:rsidR="003567C5" w:rsidRDefault="009F4D87">
      <w:pPr>
        <w:ind w:left="235"/>
      </w:pPr>
      <w:r>
        <w:t>“GEÇİCİ M</w:t>
      </w:r>
      <w:r>
        <w:t>ADDE 4- Bu maddenin yürürlüğe girdiği tarihten önce optisyenlik mesleği ile ilgili olarak faaliyette bulunan dernekler, bu maddenin yürürlüğe girdiği tarihten itibaren iki ay içinde genel kurullarını toplayarak Türk Optisyen-Gözlükçüler Birliğinin ilk gene</w:t>
      </w:r>
      <w:r>
        <w:t>l kurulu için meslek mensubu beşer mümessil seçerler.</w:t>
      </w:r>
      <w:r>
        <w:rPr>
          <w:sz w:val="24"/>
        </w:rPr>
        <w:t xml:space="preserve"> </w:t>
      </w:r>
    </w:p>
    <w:p w:rsidR="003567C5" w:rsidRDefault="009F4D87">
      <w:pPr>
        <w:ind w:left="235"/>
      </w:pPr>
      <w:r>
        <w:t>Birliğin ilk genel kurulu, bu maddenin yürürlüğe girdiği tarihten itibaren dört ay içinde Sağlık Bakanlığının daveti üzerine Ankara’da toplanır ve dokuz üyeli Birlik Merkez Yönetim Kurulunun, beş üyeli</w:t>
      </w:r>
      <w:r>
        <w:t xml:space="preserve"> Yüksek Disiplin Kurulunun ve üç üyeli Denetleme Kurulunun asıl ve yedek üyelerini seçer.</w:t>
      </w:r>
      <w:r>
        <w:rPr>
          <w:sz w:val="24"/>
        </w:rPr>
        <w:t xml:space="preserve"> </w:t>
      </w:r>
    </w:p>
    <w:p w:rsidR="003567C5" w:rsidRDefault="009F4D87">
      <w:pPr>
        <w:ind w:left="235"/>
      </w:pPr>
      <w:r>
        <w:t>Birlik Merkez Yönetim Kurulu, seçimden itibaren bir ay içinde toplanarak odalar ile Birliğin yurt içindeki ve yurt dışındaki faaliyetleri, organları, görevleri, topl</w:t>
      </w:r>
      <w:r>
        <w:t>antıları, karar alış usulleri, gelirleri, giderleri, organlar için seçim, seçilme yeterliliği, seçimlerin yapılış usulü, mesleki sicil, hizmet bedellerinin ve aidatın tespiti, disiplin cezaları ile infaz ediliş usulü, odalar ve Birlik ile ilgili diğer iş v</w:t>
      </w:r>
      <w:r>
        <w:t>e işlemlerle ilgili yönetmelikleri hazırlar. Bu yönetmelikler Sağlık Bakanlığının uygun görüşüyle seçimden itibaren iki ay içinde Resmî Gazete’de yayımlanarak yürürlüğe konulur. 25/1/1956 tarihli ve 6643 sayılı Türk Eczacıları Birliği Kanununun mali ve ida</w:t>
      </w:r>
      <w:r>
        <w:t>ri hükümleri ile disipline ilişkin hükümleri kıyasen uygulanır. Ancak, 6643 sayılı Kanunun 5 inci maddesindeki “yüz elli” sayısı “yüz”, 14 üncü maddesindeki “iki yüz elli” sayıları “yüz”, 51 inci maddesinin ikinci fıkrasının (a) bendindeki “iki yüz” sayısı</w:t>
      </w:r>
      <w:r>
        <w:t xml:space="preserve"> “yüz”, (b) bendindeki “beşyüz” sayısı “iki yüz elli”, “ikiyüz” sayısı “yüz”, “yüzelli” sayısı “yetmiş beş” ve (c) bendindeki “beşyüz” sayıları “iki yüz elli” olarak uygulanır. 4 üncü maddesinin birinci fıkrasının (e), (h) ve (i) bentleri, 20 ncimaddesinin</w:t>
      </w:r>
      <w:r>
        <w:t xml:space="preserve"> birinci fıkrasının (b), (d), (n) ve (o) bentleri ile 47 nci maddesi uygulanmaz. 20 nci maddesinin birinci fıkrasının (m) bendi </w:t>
      </w:r>
      <w:r>
        <w:lastRenderedPageBreak/>
        <w:t>“Deontoloji Tüzüğü hükümlerinin ve oda ve Birlik tarafından alınmış mesleki kararların gerektiği şekilde uygulanıp uygulanmadığı</w:t>
      </w:r>
      <w:r>
        <w:t>nı belirlemek için, optisyenlerin çalışmalarını denetlemek.” şeklinde uygulanır. 40 ıncı maddedeki meslekten men kararları uygulanmak üzere Sağlık Bakanlığına gönderilir.</w:t>
      </w:r>
      <w:r>
        <w:rPr>
          <w:sz w:val="24"/>
        </w:rPr>
        <w:t xml:space="preserve"> </w:t>
      </w:r>
    </w:p>
    <w:p w:rsidR="003567C5" w:rsidRDefault="009F4D87">
      <w:pPr>
        <w:ind w:left="235"/>
      </w:pPr>
      <w:r>
        <w:t>Birlik Merkez Yönetim Kurulu en az yüz meslek mensubunun faaliyette bulunduğu yerler</w:t>
      </w:r>
      <w:r>
        <w:t>de kurulacak olan optisyen-gözlükçüler odalarının faaliyette bulunacağı iller ile yüzden az meslek mensubunun faaliyette bulunduğu illerin oda bölgelerini tespit ederek odaların kuruluşunu karara bağlar.</w:t>
      </w:r>
      <w:r>
        <w:rPr>
          <w:sz w:val="24"/>
        </w:rPr>
        <w:t xml:space="preserve"> </w:t>
      </w:r>
    </w:p>
    <w:p w:rsidR="003567C5" w:rsidRDefault="009F4D87">
      <w:pPr>
        <w:ind w:left="235"/>
      </w:pPr>
      <w:r>
        <w:t>Oda kurulan illerde ve bölgelerde faaliyette bulunm</w:t>
      </w:r>
      <w:r>
        <w:t>akta olan meslek mensupları, odaların kuruluşundan itibaren üç ay içinde odaya kayıt olmak zorundadır. Odalar, Birlik Merkez Yönetim Kurulunun yapacağı tebligattan itibaren bir ay içinde genel kurullarını toplayarak yönetim kurulu, disiplin kurulu ve denet</w:t>
      </w:r>
      <w:r>
        <w:t>im kurulu üyeleri ile Birlik Genel Kurulunda kendilerini temsil edecek olan mümessillerini seçerler.</w:t>
      </w:r>
      <w:r>
        <w:rPr>
          <w:sz w:val="24"/>
        </w:rPr>
        <w:t xml:space="preserve"> </w:t>
      </w:r>
    </w:p>
    <w:p w:rsidR="003567C5" w:rsidRDefault="009F4D87">
      <w:pPr>
        <w:ind w:left="235"/>
      </w:pPr>
      <w:r>
        <w:t>Yürürlüğe konulacak yönetmelik uyarınca yapılacak ilk Birlik Genel Kurulunda bütün seçimler yenilenir.”</w:t>
      </w:r>
      <w:r>
        <w:rPr>
          <w:sz w:val="24"/>
        </w:rPr>
        <w:t xml:space="preserve"> </w:t>
      </w:r>
      <w:r>
        <w:rPr>
          <w:b/>
        </w:rPr>
        <w:t>MADDE 8-</w:t>
      </w:r>
      <w:r>
        <w:t xml:space="preserve"> 5/5/2007 tarihli ve 5653 sayılı Yunus Emr</w:t>
      </w:r>
      <w:r>
        <w:t>e Vakfı Kanununun 4 üncü maddesinin birinci fıkrasının (a) ve (b) bentleri aşağıdaki şekilde değiştirilmiştir.</w:t>
      </w:r>
      <w:r>
        <w:rPr>
          <w:sz w:val="24"/>
        </w:rPr>
        <w:t xml:space="preserve"> </w:t>
      </w:r>
    </w:p>
    <w:p w:rsidR="003567C5" w:rsidRDefault="009F4D87">
      <w:pPr>
        <w:ind w:left="235"/>
      </w:pPr>
      <w:r>
        <w:t>“a) Mütevelli Heyet: Mütevelli Heyet, Vakfın karar organıdır. Kültür ve Turizm Bakanı, Kültür ve Turizm Bakanlığı Müsteşarı, Dışişleri Bakanlığı</w:t>
      </w:r>
      <w:r>
        <w:t xml:space="preserve"> Müsteşarı, Maliye Bakanlığı Müsteşarı ve Millî Eğitim Bakanlığı Müsteşarı heyetin tabii üyeleridir. Heyetin tabii üyeleri dışında; Cumhurbaşkanı tarafından seçilen beş kişi ve Türkiye Maarif Vakfı tarafından kendi mütevelli heyeti üyeleri arasından seçile</w:t>
      </w:r>
      <w:r>
        <w:t>n bir kişi üç yıl süreyle Mütevelli Heyet üyeliğini yürütür. Kültür ve Turizm Bakanı, Mütevelli Heyetin başkanı; Kültür ve Turizm Bakanlığı Müsteşarı, başkan vekilidir. Mütevelli Heyet, başkanın ya da başkan vekilinin daveti üzerine üye tamsayısının yarısı</w:t>
      </w:r>
      <w:r>
        <w:t>ndan bir fazlasının katılımıyla yılda en az iki defa toplanır.</w:t>
      </w:r>
      <w:r>
        <w:rPr>
          <w:sz w:val="24"/>
        </w:rPr>
        <w:t xml:space="preserve"> </w:t>
      </w:r>
    </w:p>
    <w:p w:rsidR="003567C5" w:rsidRDefault="009F4D87">
      <w:pPr>
        <w:ind w:left="235"/>
      </w:pPr>
      <w:r>
        <w:t>b) Yönetim Kurulu: Yönetim Kurulu, Vakfın icra organıdır. Yunus Emre Enstitüsü Başkanı, Türk İşbirliği ve Koordinasyon Ajansı Başkanı, Yurtdışı Türkler ve Akraba Topluluklar Başkanı ve Dışişle</w:t>
      </w:r>
      <w:r>
        <w:t>ri Bakanlığı Yurtdışı Tanıtım ve Kültürel İlişkiler Genel Müdürü Yönetim Kurulunun tabii üyeleridir. Ayrıca, üniversitelerin Türkçe dil öğretim merkezleri başkanları arasından Mütevelli Heyetin seçeceği bir kişi, eğitim, kültür ve sanat alanında faaliyette</w:t>
      </w:r>
      <w:r>
        <w:t xml:space="preserve"> bulunan ve Bakanlar Kurulunca kamu yararına faaliyet gösterdiği kabul edilmiş dernek veya vergi muafiyeti tanınmış vakıfların üyeleri arasından Mütevelli Heyetin seçeceği bir kişi, uluslararası ilişkiler, iletişim, kültür, sanat ve Türk dili alanında çalı</w:t>
      </w:r>
      <w:r>
        <w:t>şmalarıyla tanınmış kişiler arasından Mütevelli Heyetin seçeceği bir kişi üç yıl süreyle Yönetim Kurulu üyeliğini yürütür. Yunus Emre Enstitüsü Başkanı Yönetim Kurulunun başkanıdır. Yönetim Kurulu, başkanın daveti üzerine üye tamsayısının yarısından bir fa</w:t>
      </w:r>
      <w:r>
        <w:t>zlasının katılımıyla ayda en az bir defa toplanır.”</w:t>
      </w:r>
      <w:r>
        <w:rPr>
          <w:sz w:val="24"/>
        </w:rPr>
        <w:t xml:space="preserve"> </w:t>
      </w:r>
    </w:p>
    <w:p w:rsidR="003567C5" w:rsidRDefault="009F4D87">
      <w:pPr>
        <w:spacing w:after="40" w:line="259" w:lineRule="auto"/>
        <w:ind w:left="255" w:right="404" w:hanging="10"/>
        <w:jc w:val="center"/>
      </w:pPr>
      <w:r>
        <w:rPr>
          <w:b/>
        </w:rPr>
        <w:t xml:space="preserve">MADDE 9- </w:t>
      </w:r>
      <w:r>
        <w:t>5653 sayılı Kanuna Dördüncü Bölüm başlığı altında aşağıdaki ek madde eklenmiştir.</w:t>
      </w:r>
      <w:r>
        <w:rPr>
          <w:sz w:val="24"/>
        </w:rPr>
        <w:t xml:space="preserve"> </w:t>
      </w:r>
    </w:p>
    <w:p w:rsidR="003567C5" w:rsidRDefault="009F4D87">
      <w:pPr>
        <w:ind w:left="816" w:firstLine="0"/>
      </w:pPr>
      <w:r>
        <w:t>“Yurt dışında görevlendirilen Vakıf personeli</w:t>
      </w:r>
      <w:r>
        <w:rPr>
          <w:sz w:val="24"/>
        </w:rPr>
        <w:t xml:space="preserve"> </w:t>
      </w:r>
    </w:p>
    <w:p w:rsidR="003567C5" w:rsidRDefault="009F4D87">
      <w:pPr>
        <w:ind w:left="235"/>
      </w:pPr>
      <w:r>
        <w:t>EK MADDE 1- (1) Vakıf tarafından yurt dışında görevlendirilen Va</w:t>
      </w:r>
      <w:r>
        <w:t>kıf personeli, Yunus Emre Enstitüsü Başkanlığının görevlendirme yazısını pasaport vermeye yetkili idareye ibraz etmek suretiyle 15/7/1950 tarihli ve 5682 sayılı Pasaport Kanununun 14 üncü maddesi kapsamındaki Hükümetçe, hususi idarelerce veya belediyelerce</w:t>
      </w:r>
      <w:r>
        <w:t xml:space="preserve"> resmî vazife ile dış memleketlere gönderilenlere ya da dış memleketlerde vazifeye alınanlara tanınan haklardan faydalanır.”</w:t>
      </w:r>
      <w:r>
        <w:rPr>
          <w:sz w:val="24"/>
        </w:rPr>
        <w:t xml:space="preserve"> </w:t>
      </w:r>
      <w:r>
        <w:rPr>
          <w:b/>
        </w:rPr>
        <w:t>MADDE 10-</w:t>
      </w:r>
      <w:r>
        <w:t xml:space="preserve"> 5653 sayılı Kanuna aşağıdaki geçici madde eklenmiştir.</w:t>
      </w:r>
      <w:r>
        <w:rPr>
          <w:sz w:val="24"/>
        </w:rPr>
        <w:t xml:space="preserve"> </w:t>
      </w:r>
    </w:p>
    <w:p w:rsidR="003567C5" w:rsidRDefault="009F4D87">
      <w:pPr>
        <w:ind w:left="816" w:firstLine="0"/>
      </w:pPr>
      <w:r>
        <w:t>“Görevi sona eren üyeler</w:t>
      </w:r>
      <w:r>
        <w:rPr>
          <w:sz w:val="24"/>
        </w:rPr>
        <w:t xml:space="preserve"> </w:t>
      </w:r>
    </w:p>
    <w:p w:rsidR="003567C5" w:rsidRDefault="009F4D87">
      <w:pPr>
        <w:ind w:left="235"/>
      </w:pPr>
      <w:r>
        <w:t xml:space="preserve">GEÇİCİ MADDE 3- </w:t>
      </w:r>
      <w:r>
        <w:t>(1) Bu maddenin yürürlüğe girdiği tarihte görev yapmakta olan Mütevelli Heyetin ve Yönetim Kurulunun seçimle görevlendirilen üyelerinin görevleri başka bir işleme gerek kalmaksızın sona erer.”</w:t>
      </w:r>
      <w:r>
        <w:rPr>
          <w:sz w:val="24"/>
        </w:rPr>
        <w:t xml:space="preserve"> </w:t>
      </w:r>
    </w:p>
    <w:p w:rsidR="003567C5" w:rsidRDefault="009F4D87">
      <w:pPr>
        <w:ind w:left="235"/>
      </w:pPr>
      <w:r>
        <w:rPr>
          <w:b/>
        </w:rPr>
        <w:t>MADDE 11-</w:t>
      </w:r>
      <w:r>
        <w:t xml:space="preserve"> 7/11/2013 tarihli ve 6502 sayılı Tüketicinin Korunma</w:t>
      </w:r>
      <w:r>
        <w:t>sı Hakkında Kanunun 68 inci maddesinin birinci fıkrasında yer alan “Değeri” ibaresi “Tarafların İcra ve İflas Kanunundaki hakları saklı olmak kaydıyla; değeri” şeklinde, “iki bin” ibareleri “dört bin” ve “üç bin” ibareleri “altı bin” şeklinde değiştirilmiş</w:t>
      </w:r>
      <w:r>
        <w:t>tir.</w:t>
      </w:r>
      <w:r>
        <w:rPr>
          <w:sz w:val="24"/>
        </w:rPr>
        <w:t xml:space="preserve"> </w:t>
      </w:r>
    </w:p>
    <w:p w:rsidR="003567C5" w:rsidRDefault="009F4D87">
      <w:pPr>
        <w:ind w:left="816" w:right="3121" w:firstLine="0"/>
      </w:pPr>
      <w:r>
        <w:rPr>
          <w:b/>
        </w:rPr>
        <w:t>MADDE 12-</w:t>
      </w:r>
      <w:r>
        <w:t xml:space="preserve"> Bu Kanun yayımı tarihinde yürürlüğe girer.</w:t>
      </w:r>
      <w:r>
        <w:rPr>
          <w:sz w:val="24"/>
        </w:rPr>
        <w:t xml:space="preserve"> </w:t>
      </w:r>
      <w:r>
        <w:rPr>
          <w:b/>
        </w:rPr>
        <w:t>MADDE 13-</w:t>
      </w:r>
      <w:r>
        <w:t xml:space="preserve"> Bu Kanun hükümlerini Bakanlar Kurulu yürütür.</w:t>
      </w:r>
      <w:r>
        <w:rPr>
          <w:sz w:val="24"/>
        </w:rPr>
        <w:t xml:space="preserve"> </w:t>
      </w:r>
    </w:p>
    <w:p w:rsidR="003567C5" w:rsidRDefault="009F4D87">
      <w:pPr>
        <w:spacing w:after="246" w:line="259" w:lineRule="auto"/>
        <w:ind w:left="255" w:hanging="10"/>
        <w:jc w:val="center"/>
      </w:pPr>
      <w:r>
        <w:t>19/12/2017</w:t>
      </w:r>
      <w:r>
        <w:rPr>
          <w:sz w:val="24"/>
        </w:rPr>
        <w:t xml:space="preserve"> </w:t>
      </w:r>
    </w:p>
    <w:p w:rsidR="003567C5" w:rsidRDefault="009F4D87">
      <w:pPr>
        <w:spacing w:after="0" w:line="259" w:lineRule="auto"/>
        <w:ind w:left="108" w:firstLine="0"/>
        <w:jc w:val="left"/>
      </w:pPr>
      <w:r>
        <w:rPr>
          <w:sz w:val="2"/>
        </w:rPr>
        <w:t xml:space="preserve"> </w:t>
      </w:r>
      <w:r>
        <w:rPr>
          <w:sz w:val="2"/>
        </w:rPr>
        <w:tab/>
      </w:r>
      <w:r>
        <w:rPr>
          <w:rFonts w:ascii="Arial" w:eastAsia="Arial" w:hAnsi="Arial" w:cs="Arial"/>
          <w:b/>
          <w:color w:val="000080"/>
        </w:rPr>
        <w:t xml:space="preserve"> </w:t>
      </w:r>
      <w:r>
        <w:rPr>
          <w:sz w:val="24"/>
        </w:rPr>
        <w:t xml:space="preserve"> </w:t>
      </w:r>
    </w:p>
    <w:p w:rsidR="003567C5" w:rsidRDefault="009F4D87">
      <w:pPr>
        <w:spacing w:after="0" w:line="259" w:lineRule="auto"/>
        <w:ind w:left="312" w:firstLine="0"/>
        <w:jc w:val="center"/>
      </w:pPr>
      <w:r>
        <w:rPr>
          <w:sz w:val="27"/>
        </w:rPr>
        <w:t xml:space="preserve">  </w:t>
      </w:r>
    </w:p>
    <w:p w:rsidR="003567C5" w:rsidRDefault="009F4D87">
      <w:pPr>
        <w:spacing w:after="0" w:line="259" w:lineRule="auto"/>
        <w:ind w:left="0" w:firstLine="0"/>
        <w:jc w:val="left"/>
      </w:pPr>
      <w:r>
        <w:rPr>
          <w:rFonts w:ascii="Calibri" w:eastAsia="Calibri" w:hAnsi="Calibri" w:cs="Calibri"/>
          <w:sz w:val="22"/>
        </w:rPr>
        <w:t xml:space="preserve"> </w:t>
      </w:r>
    </w:p>
    <w:sectPr w:rsidR="003567C5">
      <w:pgSz w:w="11906" w:h="16838"/>
      <w:pgMar w:top="1475" w:right="1661" w:bottom="143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E4F1A"/>
    <w:multiLevelType w:val="hybridMultilevel"/>
    <w:tmpl w:val="E0B073F2"/>
    <w:lvl w:ilvl="0" w:tplc="B05C4362">
      <w:start w:val="2"/>
      <w:numFmt w:val="lowerLetter"/>
      <w:lvlText w:val="%1)"/>
      <w:lvlJc w:val="left"/>
      <w:pPr>
        <w:ind w:left="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3A9940">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DCFEC6">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9E7F3C">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D675D0">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0AE9FC">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9C18AE">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601E54">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46EDF0">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C5"/>
    <w:rsid w:val="003567C5"/>
    <w:rsid w:val="009F4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97DDD-8C94-4888-975E-94088812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250" w:firstLine="556"/>
      <w:jc w:val="both"/>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neslihan</cp:lastModifiedBy>
  <cp:revision>2</cp:revision>
  <dcterms:created xsi:type="dcterms:W3CDTF">2017-12-21T06:34:00Z</dcterms:created>
  <dcterms:modified xsi:type="dcterms:W3CDTF">2017-12-21T06:34:00Z</dcterms:modified>
</cp:coreProperties>
</file>